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ACF0B2">
      <w:pPr>
        <w:pStyle w:val="2"/>
        <w:bidi w:val="0"/>
        <w:jc w:val="center"/>
        <w:rPr>
          <w:rFonts w:hint="eastAsia" w:ascii="宋体" w:hAnsi="宋体" w:eastAsia="宋体" w:cs="宋体"/>
          <w:sz w:val="36"/>
          <w:szCs w:val="36"/>
          <w:lang w:val="en-US" w:eastAsia="zh-CN"/>
        </w:rPr>
      </w:pPr>
      <w:r>
        <w:rPr>
          <w:rFonts w:hint="eastAsia" w:ascii="宋体" w:hAnsi="宋体" w:eastAsia="宋体" w:cs="宋体"/>
          <w:sz w:val="36"/>
          <w:szCs w:val="36"/>
          <w:lang w:val="en-US" w:eastAsia="zh-CN"/>
        </w:rPr>
        <w:t>长春市儿童医院</w:t>
      </w:r>
    </w:p>
    <w:p w14:paraId="2EC3C452">
      <w:pPr>
        <w:pStyle w:val="2"/>
        <w:bidi w:val="0"/>
        <w:jc w:val="center"/>
        <w:rPr>
          <w:rFonts w:hint="eastAsia" w:ascii="宋体" w:hAnsi="宋体" w:eastAsia="宋体" w:cs="宋体"/>
          <w:sz w:val="36"/>
          <w:szCs w:val="36"/>
          <w:lang w:val="en-US" w:eastAsia="zh-CN"/>
        </w:rPr>
      </w:pPr>
      <w:r>
        <w:rPr>
          <w:rFonts w:hint="eastAsia" w:ascii="宋体" w:hAnsi="宋体" w:eastAsia="宋体" w:cs="宋体"/>
          <w:sz w:val="36"/>
          <w:szCs w:val="36"/>
          <w:lang w:val="en-US" w:eastAsia="zh-CN"/>
        </w:rPr>
        <w:t>超融合集群与配套设备采购询价书</w:t>
      </w:r>
    </w:p>
    <w:p w14:paraId="23B32347">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color w:val="333333"/>
          <w:sz w:val="28"/>
          <w:szCs w:val="28"/>
          <w:u w:val="single"/>
          <w:lang w:val="en-US" w:eastAsia="zh-CN"/>
        </w:rPr>
      </w:pPr>
      <w:r>
        <w:rPr>
          <w:rFonts w:hint="eastAsia" w:ascii="Times New Roman" w:hAnsi="Times New Roman" w:eastAsia="仿宋" w:cs="Times New Roman"/>
          <w:color w:val="333333"/>
          <w:sz w:val="28"/>
          <w:szCs w:val="28"/>
          <w:u w:val="single"/>
          <w:lang w:val="en-US" w:eastAsia="zh-CN"/>
        </w:rPr>
        <w:t xml:space="preserve">                     </w:t>
      </w:r>
      <w:r>
        <w:rPr>
          <w:rFonts w:hint="eastAsia" w:ascii="Times New Roman" w:hAnsi="Times New Roman" w:eastAsia="仿宋" w:cs="Times New Roman"/>
          <w:color w:val="333333"/>
          <w:sz w:val="28"/>
          <w:szCs w:val="28"/>
          <w:u w:val="none"/>
          <w:lang w:val="en-US" w:eastAsia="zh-CN"/>
        </w:rPr>
        <w:t>公司：</w:t>
      </w:r>
    </w:p>
    <w:p w14:paraId="0F795C79">
      <w:pPr>
        <w:keepNext w:val="0"/>
        <w:keepLines w:val="0"/>
        <w:pageBreakBefore w:val="0"/>
        <w:widowControl w:val="0"/>
        <w:kinsoku/>
        <w:wordWrap/>
        <w:overflowPunct/>
        <w:topLinePunct w:val="0"/>
        <w:autoSpaceDE/>
        <w:autoSpaceDN/>
        <w:bidi w:val="0"/>
        <w:adjustRightInd/>
        <w:snapToGrid/>
        <w:ind w:firstLine="1120" w:firstLineChars="400"/>
        <w:textAlignment w:val="auto"/>
        <w:rPr>
          <w:rFonts w:hint="eastAsia" w:ascii="Times New Roman" w:hAnsi="Times New Roman" w:eastAsia="仿宋" w:cs="Times New Roman"/>
          <w:color w:val="333333"/>
          <w:sz w:val="28"/>
          <w:szCs w:val="28"/>
          <w:lang w:val="en-US" w:eastAsia="zh-CN"/>
        </w:rPr>
      </w:pPr>
      <w:r>
        <w:rPr>
          <w:rFonts w:hint="eastAsia" w:ascii="Times New Roman" w:hAnsi="Times New Roman" w:eastAsia="仿宋" w:cs="Times New Roman"/>
          <w:color w:val="333333"/>
          <w:sz w:val="28"/>
          <w:szCs w:val="28"/>
          <w:lang w:eastAsia="zh-CN"/>
        </w:rPr>
        <w:t>因我院工作需求，现对</w:t>
      </w:r>
      <w:r>
        <w:rPr>
          <w:rFonts w:hint="eastAsia" w:ascii="Times New Roman" w:hAnsi="Times New Roman" w:eastAsia="仿宋" w:cs="Times New Roman"/>
          <w:color w:val="333333"/>
          <w:sz w:val="28"/>
          <w:szCs w:val="28"/>
          <w:lang w:val="en-US" w:eastAsia="zh-CN"/>
        </w:rPr>
        <w:t>超融合集群与配套设备</w:t>
      </w:r>
      <w:r>
        <w:rPr>
          <w:rFonts w:hint="eastAsia" w:ascii="Times New Roman" w:hAnsi="Times New Roman" w:eastAsia="仿宋" w:cs="Times New Roman"/>
          <w:color w:val="333333"/>
          <w:sz w:val="28"/>
          <w:szCs w:val="28"/>
          <w:lang w:eastAsia="zh-CN"/>
        </w:rPr>
        <w:t>进行采购</w:t>
      </w:r>
      <w:r>
        <w:rPr>
          <w:rFonts w:hint="eastAsia" w:ascii="Times New Roman" w:hAnsi="Times New Roman" w:eastAsia="仿宋" w:cs="Times New Roman"/>
          <w:color w:val="333333"/>
          <w:sz w:val="28"/>
          <w:szCs w:val="28"/>
          <w:lang w:val="en-US" w:eastAsia="zh-CN"/>
        </w:rPr>
        <w:t>。在此向你公司就如下内容进行询价。</w:t>
      </w:r>
    </w:p>
    <w:tbl>
      <w:tblPr>
        <w:tblStyle w:val="4"/>
        <w:tblW w:w="1485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06"/>
        <w:gridCol w:w="1421"/>
        <w:gridCol w:w="8741"/>
        <w:gridCol w:w="957"/>
        <w:gridCol w:w="1928"/>
        <w:gridCol w:w="903"/>
      </w:tblGrid>
      <w:tr w14:paraId="5FA0A4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906" w:type="dxa"/>
            <w:tcBorders>
              <w:top w:val="single" w:color="auto" w:sz="4" w:space="0"/>
              <w:left w:val="single" w:color="auto" w:sz="4" w:space="0"/>
              <w:bottom w:val="single" w:color="auto" w:sz="4" w:space="0"/>
              <w:right w:val="single" w:color="auto" w:sz="4" w:space="0"/>
            </w:tcBorders>
            <w:shd w:val="clear" w:color="auto" w:fill="auto"/>
            <w:vAlign w:val="center"/>
          </w:tcPr>
          <w:p w14:paraId="53540CBD">
            <w:pPr>
              <w:keepNext w:val="0"/>
              <w:keepLines w:val="0"/>
              <w:widowControl/>
              <w:suppressLineNumbers w:val="0"/>
              <w:jc w:val="center"/>
              <w:textAlignment w:val="center"/>
              <w:rPr>
                <w:rFonts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序号</w:t>
            </w:r>
          </w:p>
        </w:tc>
        <w:tc>
          <w:tcPr>
            <w:tcW w:w="1421" w:type="dxa"/>
            <w:tcBorders>
              <w:top w:val="single" w:color="auto" w:sz="4" w:space="0"/>
              <w:left w:val="single" w:color="auto" w:sz="4" w:space="0"/>
              <w:bottom w:val="single" w:color="auto" w:sz="4" w:space="0"/>
              <w:right w:val="single" w:color="auto" w:sz="4" w:space="0"/>
            </w:tcBorders>
            <w:shd w:val="clear" w:color="auto" w:fill="auto"/>
            <w:vAlign w:val="center"/>
          </w:tcPr>
          <w:p w14:paraId="3823E0A2">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名称</w:t>
            </w:r>
          </w:p>
        </w:tc>
        <w:tc>
          <w:tcPr>
            <w:tcW w:w="8741" w:type="dxa"/>
            <w:tcBorders>
              <w:top w:val="single" w:color="auto" w:sz="4" w:space="0"/>
              <w:left w:val="single" w:color="auto" w:sz="4" w:space="0"/>
              <w:bottom w:val="single" w:color="auto" w:sz="4" w:space="0"/>
              <w:right w:val="single" w:color="auto" w:sz="4" w:space="0"/>
            </w:tcBorders>
            <w:shd w:val="clear" w:color="auto" w:fill="auto"/>
            <w:vAlign w:val="center"/>
          </w:tcPr>
          <w:p w14:paraId="2DE611E0">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要求</w:t>
            </w:r>
          </w:p>
        </w:tc>
        <w:tc>
          <w:tcPr>
            <w:tcW w:w="957" w:type="dxa"/>
            <w:tcBorders>
              <w:top w:val="single" w:color="auto" w:sz="4" w:space="0"/>
              <w:left w:val="single" w:color="auto" w:sz="4" w:space="0"/>
              <w:bottom w:val="single" w:color="auto" w:sz="4" w:space="0"/>
              <w:right w:val="single" w:color="auto" w:sz="4" w:space="0"/>
            </w:tcBorders>
            <w:shd w:val="clear" w:color="auto" w:fill="auto"/>
            <w:vAlign w:val="center"/>
          </w:tcPr>
          <w:p w14:paraId="37C32FD9">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数量（台）</w:t>
            </w:r>
          </w:p>
        </w:tc>
        <w:tc>
          <w:tcPr>
            <w:tcW w:w="1928" w:type="dxa"/>
            <w:tcBorders>
              <w:top w:val="single" w:color="auto" w:sz="4" w:space="0"/>
              <w:left w:val="single" w:color="auto" w:sz="4" w:space="0"/>
              <w:bottom w:val="single" w:color="auto" w:sz="4" w:space="0"/>
              <w:right w:val="single" w:color="auto" w:sz="4" w:space="0"/>
            </w:tcBorders>
            <w:shd w:val="clear" w:color="auto" w:fill="auto"/>
            <w:vAlign w:val="center"/>
          </w:tcPr>
          <w:p w14:paraId="3B181F52">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含税总金额（元）</w:t>
            </w:r>
          </w:p>
        </w:tc>
        <w:tc>
          <w:tcPr>
            <w:tcW w:w="903" w:type="dxa"/>
            <w:tcBorders>
              <w:top w:val="single" w:color="auto" w:sz="4" w:space="0"/>
              <w:left w:val="single" w:color="auto" w:sz="4" w:space="0"/>
              <w:bottom w:val="single" w:color="auto" w:sz="4" w:space="0"/>
              <w:right w:val="single" w:color="auto" w:sz="4" w:space="0"/>
            </w:tcBorders>
            <w:shd w:val="clear" w:color="auto" w:fill="auto"/>
            <w:vAlign w:val="center"/>
          </w:tcPr>
          <w:p w14:paraId="3D5AE601">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备注</w:t>
            </w:r>
          </w:p>
        </w:tc>
      </w:tr>
      <w:tr w14:paraId="6422F9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42" w:hRule="atLeast"/>
          <w:jc w:val="center"/>
        </w:trPr>
        <w:tc>
          <w:tcPr>
            <w:tcW w:w="90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EDCC0A1">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w:t>
            </w:r>
          </w:p>
        </w:tc>
        <w:tc>
          <w:tcPr>
            <w:tcW w:w="142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B8DB6D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eastAsia="宋体" w:cs="宋体"/>
                <w:b w:val="0"/>
                <w:bCs/>
                <w:lang w:val="en-US" w:eastAsia="zh-CN"/>
              </w:rPr>
              <w:t>超融合一体机</w:t>
            </w:r>
          </w:p>
        </w:tc>
        <w:tc>
          <w:tcPr>
            <w:tcW w:w="8741" w:type="dxa"/>
            <w:tcBorders>
              <w:top w:val="single" w:color="auto" w:sz="4" w:space="0"/>
              <w:left w:val="single" w:color="auto" w:sz="4" w:space="0"/>
              <w:bottom w:val="single" w:color="auto" w:sz="4" w:space="0"/>
              <w:right w:val="single" w:color="auto" w:sz="4" w:space="0"/>
            </w:tcBorders>
            <w:shd w:val="clear" w:color="auto" w:fill="auto"/>
            <w:vAlign w:val="center"/>
          </w:tcPr>
          <w:p w14:paraId="7B3DF220">
            <w:pPr>
              <w:pStyle w:val="3"/>
              <w:keepNext w:val="0"/>
              <w:keepLines w:val="0"/>
              <w:pageBreakBefore w:val="0"/>
              <w:kinsoku/>
              <w:wordWrap/>
              <w:overflowPunct/>
              <w:topLinePunct w:val="0"/>
              <w:autoSpaceDE/>
              <w:autoSpaceDN/>
              <w:bidi w:val="0"/>
              <w:adjustRightInd/>
              <w:snapToGrid/>
              <w:spacing w:line="160" w:lineRule="exact"/>
              <w:jc w:val="left"/>
              <w:rPr>
                <w:rFonts w:hint="eastAsia" w:hAnsi="宋体" w:cs="宋体"/>
                <w:sz w:val="13"/>
                <w:szCs w:val="13"/>
                <w:lang w:val="en-US" w:eastAsia="zh-CN"/>
              </w:rPr>
            </w:pPr>
            <w:r>
              <w:rPr>
                <w:rFonts w:hint="eastAsia" w:hAnsi="宋体" w:cs="宋体"/>
                <w:sz w:val="13"/>
                <w:szCs w:val="13"/>
                <w:lang w:val="en-US" w:eastAsia="zh-CN"/>
              </w:rPr>
              <w:t>超融合一体机硬件：</w:t>
            </w:r>
          </w:p>
          <w:p w14:paraId="2DE371C7">
            <w:pPr>
              <w:pStyle w:val="3"/>
              <w:keepNext w:val="0"/>
              <w:keepLines w:val="0"/>
              <w:pageBreakBefore w:val="0"/>
              <w:kinsoku/>
              <w:wordWrap/>
              <w:overflowPunct/>
              <w:topLinePunct w:val="0"/>
              <w:autoSpaceDE/>
              <w:autoSpaceDN/>
              <w:bidi w:val="0"/>
              <w:adjustRightInd/>
              <w:snapToGrid/>
              <w:spacing w:line="160" w:lineRule="exact"/>
              <w:jc w:val="left"/>
              <w:rPr>
                <w:rFonts w:hint="eastAsia" w:hAnsi="宋体" w:cs="宋体"/>
                <w:sz w:val="13"/>
                <w:szCs w:val="13"/>
                <w:lang w:val="en-US" w:eastAsia="zh-CN"/>
              </w:rPr>
            </w:pPr>
            <w:bookmarkStart w:id="0" w:name="_GoBack"/>
            <w:bookmarkEnd w:id="0"/>
            <w:r>
              <w:rPr>
                <w:rFonts w:hint="eastAsia" w:hAnsi="宋体" w:cs="宋体"/>
                <w:sz w:val="13"/>
                <w:szCs w:val="13"/>
                <w:lang w:val="en-US" w:eastAsia="zh-CN"/>
              </w:rPr>
              <w:t>1.单台超融合一体机的硬件配置不低于以下要求：国产自研2U机架式设备，；CPU配置≥2颗24核2.6GHz处理器；内存配置≥512GB；磁盘配置≥2*480GB SSD+2*1.92T SSD+6*8T HDD，标配盘位数≥12个；接口≥4个千兆电口+2个万兆光口。</w:t>
            </w:r>
          </w:p>
          <w:p w14:paraId="36000295">
            <w:pPr>
              <w:pStyle w:val="3"/>
              <w:keepNext w:val="0"/>
              <w:keepLines w:val="0"/>
              <w:pageBreakBefore w:val="0"/>
              <w:kinsoku/>
              <w:wordWrap/>
              <w:overflowPunct/>
              <w:topLinePunct w:val="0"/>
              <w:autoSpaceDE/>
              <w:autoSpaceDN/>
              <w:bidi w:val="0"/>
              <w:adjustRightInd/>
              <w:snapToGrid/>
              <w:spacing w:line="160" w:lineRule="exact"/>
              <w:jc w:val="left"/>
              <w:rPr>
                <w:rFonts w:hint="eastAsia" w:hAnsi="宋体" w:cs="宋体"/>
                <w:sz w:val="13"/>
                <w:szCs w:val="13"/>
                <w:lang w:val="en-US" w:eastAsia="zh-CN"/>
              </w:rPr>
            </w:pPr>
            <w:r>
              <w:rPr>
                <w:rFonts w:hint="eastAsia" w:hAnsi="宋体" w:cs="宋体"/>
                <w:sz w:val="13"/>
                <w:szCs w:val="13"/>
                <w:lang w:val="en-US" w:eastAsia="zh-CN"/>
              </w:rPr>
              <w:t>2.提供对应CPU颗数的计算虚拟化，存储虚拟化，网络虚拟化软件、云管软件授权。</w:t>
            </w:r>
          </w:p>
          <w:p w14:paraId="733DB7E0">
            <w:pPr>
              <w:pStyle w:val="3"/>
              <w:keepNext w:val="0"/>
              <w:keepLines w:val="0"/>
              <w:pageBreakBefore w:val="0"/>
              <w:kinsoku/>
              <w:wordWrap/>
              <w:overflowPunct/>
              <w:topLinePunct w:val="0"/>
              <w:autoSpaceDE/>
              <w:autoSpaceDN/>
              <w:bidi w:val="0"/>
              <w:adjustRightInd/>
              <w:snapToGrid/>
              <w:spacing w:line="160" w:lineRule="exact"/>
              <w:jc w:val="left"/>
              <w:rPr>
                <w:rFonts w:hint="eastAsia" w:hAnsi="宋体" w:cs="宋体"/>
                <w:sz w:val="13"/>
                <w:szCs w:val="13"/>
                <w:lang w:val="en-US" w:eastAsia="zh-CN"/>
              </w:rPr>
            </w:pPr>
            <w:r>
              <w:rPr>
                <w:rFonts w:hint="eastAsia" w:hAnsi="宋体" w:cs="宋体"/>
                <w:sz w:val="13"/>
                <w:szCs w:val="13"/>
                <w:lang w:val="en-US" w:eastAsia="zh-CN"/>
              </w:rPr>
              <w:t>计算虚拟化软件：</w:t>
            </w:r>
          </w:p>
          <w:p w14:paraId="1F5ECA41">
            <w:pPr>
              <w:pStyle w:val="3"/>
              <w:keepNext w:val="0"/>
              <w:keepLines w:val="0"/>
              <w:pageBreakBefore w:val="0"/>
              <w:kinsoku/>
              <w:wordWrap/>
              <w:overflowPunct/>
              <w:topLinePunct w:val="0"/>
              <w:autoSpaceDE/>
              <w:autoSpaceDN/>
              <w:bidi w:val="0"/>
              <w:adjustRightInd/>
              <w:snapToGrid/>
              <w:spacing w:line="160" w:lineRule="exact"/>
              <w:jc w:val="left"/>
              <w:rPr>
                <w:rFonts w:hint="eastAsia" w:hAnsi="宋体" w:cs="宋体"/>
                <w:sz w:val="13"/>
                <w:szCs w:val="13"/>
                <w:lang w:val="en-US" w:eastAsia="zh-CN"/>
              </w:rPr>
            </w:pPr>
            <w:r>
              <w:rPr>
                <w:rFonts w:hint="eastAsia" w:hAnsi="宋体" w:cs="宋体"/>
                <w:sz w:val="13"/>
                <w:szCs w:val="13"/>
                <w:lang w:val="en-US" w:eastAsia="zh-CN"/>
              </w:rPr>
              <w:t>1.提供6个CPU的计算虚拟化授权，提供三年软件升级服务。</w:t>
            </w:r>
          </w:p>
          <w:p w14:paraId="784CA2A1">
            <w:pPr>
              <w:pStyle w:val="3"/>
              <w:keepNext w:val="0"/>
              <w:keepLines w:val="0"/>
              <w:pageBreakBefore w:val="0"/>
              <w:kinsoku/>
              <w:wordWrap/>
              <w:overflowPunct/>
              <w:topLinePunct w:val="0"/>
              <w:autoSpaceDE/>
              <w:autoSpaceDN/>
              <w:bidi w:val="0"/>
              <w:adjustRightInd/>
              <w:snapToGrid/>
              <w:spacing w:line="160" w:lineRule="exact"/>
              <w:jc w:val="left"/>
              <w:rPr>
                <w:rFonts w:hint="eastAsia" w:hAnsi="宋体" w:cs="宋体"/>
                <w:sz w:val="13"/>
                <w:szCs w:val="13"/>
                <w:lang w:val="en-US" w:eastAsia="zh-CN"/>
              </w:rPr>
            </w:pPr>
            <w:r>
              <w:rPr>
                <w:rFonts w:hint="eastAsia" w:hAnsi="宋体" w:cs="宋体"/>
                <w:sz w:val="13"/>
                <w:szCs w:val="13"/>
                <w:lang w:val="en-US" w:eastAsia="zh-CN"/>
              </w:rPr>
              <w:t>2.虚拟化内核基于KVM底层开发，支持并配置动态资源扩展功能，系统将自动评估虚拟机的性能情况，当虚拟机性能不足时自动为虚拟机添加CPU和内存资源，确保业务持续高效运行。</w:t>
            </w:r>
          </w:p>
          <w:p w14:paraId="63909793">
            <w:pPr>
              <w:pStyle w:val="3"/>
              <w:keepNext w:val="0"/>
              <w:keepLines w:val="0"/>
              <w:pageBreakBefore w:val="0"/>
              <w:kinsoku/>
              <w:wordWrap/>
              <w:overflowPunct/>
              <w:topLinePunct w:val="0"/>
              <w:autoSpaceDE/>
              <w:autoSpaceDN/>
              <w:bidi w:val="0"/>
              <w:adjustRightInd/>
              <w:snapToGrid/>
              <w:spacing w:line="160" w:lineRule="exact"/>
              <w:jc w:val="left"/>
              <w:rPr>
                <w:rFonts w:hint="eastAsia" w:hAnsi="宋体" w:cs="宋体"/>
                <w:sz w:val="13"/>
                <w:szCs w:val="13"/>
                <w:lang w:val="en-US" w:eastAsia="zh-CN"/>
              </w:rPr>
            </w:pPr>
            <w:r>
              <w:rPr>
                <w:rFonts w:hint="eastAsia" w:hAnsi="宋体" w:cs="宋体"/>
                <w:sz w:val="13"/>
                <w:szCs w:val="13"/>
                <w:lang w:val="en-US" w:eastAsia="zh-CN"/>
              </w:rPr>
              <w:t>3.超融合平台需支持在线升级不影响业务，支持对不同主机的升级顺序进行编排。</w:t>
            </w:r>
          </w:p>
          <w:p w14:paraId="778E9863">
            <w:pPr>
              <w:pStyle w:val="3"/>
              <w:keepNext w:val="0"/>
              <w:keepLines w:val="0"/>
              <w:pageBreakBefore w:val="0"/>
              <w:kinsoku/>
              <w:wordWrap/>
              <w:overflowPunct/>
              <w:topLinePunct w:val="0"/>
              <w:autoSpaceDE/>
              <w:autoSpaceDN/>
              <w:bidi w:val="0"/>
              <w:adjustRightInd/>
              <w:snapToGrid/>
              <w:spacing w:line="160" w:lineRule="exact"/>
              <w:jc w:val="left"/>
              <w:rPr>
                <w:rFonts w:hint="eastAsia" w:hAnsi="宋体" w:cs="宋体"/>
                <w:sz w:val="13"/>
                <w:szCs w:val="13"/>
                <w:lang w:val="en-US" w:eastAsia="zh-CN"/>
              </w:rPr>
            </w:pPr>
            <w:r>
              <w:rPr>
                <w:rFonts w:hint="eastAsia" w:hAnsi="宋体" w:cs="宋体"/>
                <w:sz w:val="13"/>
                <w:szCs w:val="13"/>
                <w:lang w:val="en-US" w:eastAsia="zh-CN"/>
              </w:rPr>
              <w:t>4.为保障业务稳定性，支持对虚拟机进行指定网口的迁移。</w:t>
            </w:r>
          </w:p>
          <w:p w14:paraId="2DCD9065">
            <w:pPr>
              <w:pStyle w:val="3"/>
              <w:keepNext w:val="0"/>
              <w:keepLines w:val="0"/>
              <w:pageBreakBefore w:val="0"/>
              <w:kinsoku/>
              <w:wordWrap/>
              <w:overflowPunct/>
              <w:topLinePunct w:val="0"/>
              <w:autoSpaceDE/>
              <w:autoSpaceDN/>
              <w:bidi w:val="0"/>
              <w:adjustRightInd/>
              <w:snapToGrid/>
              <w:spacing w:line="160" w:lineRule="exact"/>
              <w:jc w:val="left"/>
              <w:rPr>
                <w:rFonts w:hint="eastAsia" w:hAnsi="宋体" w:cs="宋体"/>
                <w:sz w:val="13"/>
                <w:szCs w:val="13"/>
                <w:lang w:val="en-US" w:eastAsia="zh-CN"/>
              </w:rPr>
            </w:pPr>
            <w:r>
              <w:rPr>
                <w:rFonts w:hint="eastAsia" w:hAnsi="宋体" w:cs="宋体"/>
                <w:sz w:val="13"/>
                <w:szCs w:val="13"/>
                <w:lang w:val="en-US" w:eastAsia="zh-CN"/>
              </w:rPr>
              <w:t>5.支持检测主机RAID卡的状态，发现主机RAID卡处于卡死状态时，可对该RAID卡所在主机进行隔离。</w:t>
            </w:r>
          </w:p>
          <w:p w14:paraId="60159AB0">
            <w:pPr>
              <w:pStyle w:val="3"/>
              <w:keepNext w:val="0"/>
              <w:keepLines w:val="0"/>
              <w:pageBreakBefore w:val="0"/>
              <w:kinsoku/>
              <w:wordWrap/>
              <w:overflowPunct/>
              <w:topLinePunct w:val="0"/>
              <w:autoSpaceDE/>
              <w:autoSpaceDN/>
              <w:bidi w:val="0"/>
              <w:adjustRightInd/>
              <w:snapToGrid/>
              <w:spacing w:line="160" w:lineRule="exact"/>
              <w:jc w:val="left"/>
              <w:rPr>
                <w:rFonts w:hint="eastAsia" w:hAnsi="宋体" w:cs="宋体"/>
                <w:sz w:val="13"/>
                <w:szCs w:val="13"/>
                <w:lang w:val="en-US" w:eastAsia="zh-CN"/>
              </w:rPr>
            </w:pPr>
            <w:r>
              <w:rPr>
                <w:rFonts w:hint="eastAsia" w:hAnsi="宋体" w:cs="宋体"/>
                <w:sz w:val="13"/>
                <w:szCs w:val="13"/>
                <w:lang w:val="en-US" w:eastAsia="zh-CN"/>
              </w:rPr>
              <w:t>6.每个虚拟机都可以安装独立的操作系统，为获得良好的兼容性操作系统支持需要包括Windows、Linux，并且支持国产操作系统包括：红旗linux、中标麒麟、中标普华等。</w:t>
            </w:r>
          </w:p>
          <w:p w14:paraId="3CB4E61F">
            <w:pPr>
              <w:pStyle w:val="3"/>
              <w:keepNext w:val="0"/>
              <w:keepLines w:val="0"/>
              <w:pageBreakBefore w:val="0"/>
              <w:kinsoku/>
              <w:wordWrap/>
              <w:overflowPunct/>
              <w:topLinePunct w:val="0"/>
              <w:autoSpaceDE/>
              <w:autoSpaceDN/>
              <w:bidi w:val="0"/>
              <w:adjustRightInd/>
              <w:snapToGrid/>
              <w:spacing w:line="160" w:lineRule="exact"/>
              <w:jc w:val="left"/>
              <w:rPr>
                <w:rFonts w:hint="eastAsia" w:hAnsi="宋体" w:cs="宋体"/>
                <w:sz w:val="13"/>
                <w:szCs w:val="13"/>
                <w:lang w:val="en-US" w:eastAsia="zh-CN"/>
              </w:rPr>
            </w:pPr>
            <w:r>
              <w:rPr>
                <w:rFonts w:hint="eastAsia" w:hAnsi="宋体" w:cs="宋体"/>
                <w:sz w:val="13"/>
                <w:szCs w:val="13"/>
                <w:lang w:val="en-US" w:eastAsia="zh-CN"/>
              </w:rPr>
              <w:t>存储虚拟化软件：</w:t>
            </w:r>
          </w:p>
          <w:p w14:paraId="791C6797">
            <w:pPr>
              <w:pStyle w:val="3"/>
              <w:keepNext w:val="0"/>
              <w:keepLines w:val="0"/>
              <w:pageBreakBefore w:val="0"/>
              <w:kinsoku/>
              <w:wordWrap/>
              <w:overflowPunct/>
              <w:topLinePunct w:val="0"/>
              <w:autoSpaceDE/>
              <w:autoSpaceDN/>
              <w:bidi w:val="0"/>
              <w:adjustRightInd/>
              <w:snapToGrid/>
              <w:spacing w:line="160" w:lineRule="exact"/>
              <w:jc w:val="left"/>
              <w:rPr>
                <w:rFonts w:hint="eastAsia" w:hAnsi="宋体" w:cs="宋体"/>
                <w:sz w:val="13"/>
                <w:szCs w:val="13"/>
                <w:lang w:val="en-US" w:eastAsia="zh-CN"/>
              </w:rPr>
            </w:pPr>
            <w:r>
              <w:rPr>
                <w:rFonts w:hint="eastAsia" w:hAnsi="宋体" w:cs="宋体"/>
                <w:sz w:val="13"/>
                <w:szCs w:val="13"/>
                <w:lang w:val="en-US" w:eastAsia="zh-CN"/>
              </w:rPr>
              <w:t>1.提供6个CPU的存储虚拟化授权，提供三年软件升级服务。</w:t>
            </w:r>
          </w:p>
          <w:p w14:paraId="71CF5DDA">
            <w:pPr>
              <w:pStyle w:val="3"/>
              <w:keepNext w:val="0"/>
              <w:keepLines w:val="0"/>
              <w:pageBreakBefore w:val="0"/>
              <w:kinsoku/>
              <w:wordWrap/>
              <w:overflowPunct/>
              <w:topLinePunct w:val="0"/>
              <w:autoSpaceDE/>
              <w:autoSpaceDN/>
              <w:bidi w:val="0"/>
              <w:adjustRightInd/>
              <w:snapToGrid/>
              <w:spacing w:line="160" w:lineRule="exact"/>
              <w:jc w:val="left"/>
              <w:rPr>
                <w:rFonts w:hint="eastAsia" w:hAnsi="宋体" w:cs="宋体"/>
                <w:sz w:val="13"/>
                <w:szCs w:val="13"/>
                <w:lang w:val="en-US" w:eastAsia="zh-CN"/>
              </w:rPr>
            </w:pPr>
            <w:r>
              <w:rPr>
                <w:rFonts w:hint="eastAsia" w:hAnsi="宋体" w:cs="宋体"/>
                <w:sz w:val="13"/>
                <w:szCs w:val="13"/>
                <w:lang w:val="en-US" w:eastAsia="zh-CN"/>
              </w:rPr>
              <w:t>2.采用分布式架构设计，由多台物理服务器组成分布式存储集群，通过新增物理服务器可以实现存储容量和性能的横向扩展（Scale-Out架构），扩容过程保证业务零中断。</w:t>
            </w:r>
          </w:p>
          <w:p w14:paraId="29B7BB3B">
            <w:pPr>
              <w:pStyle w:val="3"/>
              <w:keepNext w:val="0"/>
              <w:keepLines w:val="0"/>
              <w:pageBreakBefore w:val="0"/>
              <w:kinsoku/>
              <w:wordWrap/>
              <w:overflowPunct/>
              <w:topLinePunct w:val="0"/>
              <w:autoSpaceDE/>
              <w:autoSpaceDN/>
              <w:bidi w:val="0"/>
              <w:adjustRightInd/>
              <w:snapToGrid/>
              <w:spacing w:line="160" w:lineRule="exact"/>
              <w:jc w:val="left"/>
              <w:rPr>
                <w:rFonts w:hint="eastAsia" w:hAnsi="宋体" w:cs="宋体"/>
                <w:sz w:val="13"/>
                <w:szCs w:val="13"/>
                <w:lang w:val="en-US" w:eastAsia="zh-CN"/>
              </w:rPr>
            </w:pPr>
            <w:r>
              <w:rPr>
                <w:rFonts w:hint="eastAsia" w:hAnsi="宋体" w:cs="宋体"/>
                <w:sz w:val="13"/>
                <w:szCs w:val="13"/>
                <w:lang w:val="en-US" w:eastAsia="zh-CN"/>
              </w:rPr>
              <w:t>3.支持存储分卷功能，以物理主机为单位划分为不同的存储卷，包含高性能卷，大容量卷，全闪存卷等，可使对存储性能和容量要求不同的业务运行在不同的存储卷上。</w:t>
            </w:r>
          </w:p>
          <w:p w14:paraId="7C99D3A9">
            <w:pPr>
              <w:pStyle w:val="3"/>
              <w:keepNext w:val="0"/>
              <w:keepLines w:val="0"/>
              <w:pageBreakBefore w:val="0"/>
              <w:kinsoku/>
              <w:wordWrap/>
              <w:overflowPunct/>
              <w:topLinePunct w:val="0"/>
              <w:autoSpaceDE/>
              <w:autoSpaceDN/>
              <w:bidi w:val="0"/>
              <w:adjustRightInd/>
              <w:snapToGrid/>
              <w:spacing w:line="160" w:lineRule="exact"/>
              <w:jc w:val="left"/>
              <w:rPr>
                <w:rFonts w:hint="eastAsia" w:hAnsi="宋体" w:cs="宋体"/>
                <w:sz w:val="13"/>
                <w:szCs w:val="13"/>
                <w:lang w:val="en-US" w:eastAsia="zh-CN"/>
              </w:rPr>
            </w:pPr>
            <w:r>
              <w:rPr>
                <w:rFonts w:hint="eastAsia" w:hAnsi="宋体" w:cs="宋体"/>
                <w:sz w:val="13"/>
                <w:szCs w:val="13"/>
                <w:lang w:val="en-US" w:eastAsia="zh-CN"/>
              </w:rPr>
              <w:t>4.虚拟存储集群支持iSCSI接口的访问，允许外部物理主机通过标准的iSCSI接口访问虚拟存储，实现Server SAN和IP SAN的融合，能够使存储资源的利用率发挥到最大价值。</w:t>
            </w:r>
          </w:p>
          <w:p w14:paraId="7365B407">
            <w:pPr>
              <w:pStyle w:val="3"/>
              <w:keepNext w:val="0"/>
              <w:keepLines w:val="0"/>
              <w:pageBreakBefore w:val="0"/>
              <w:kinsoku/>
              <w:wordWrap/>
              <w:overflowPunct/>
              <w:topLinePunct w:val="0"/>
              <w:autoSpaceDE/>
              <w:autoSpaceDN/>
              <w:bidi w:val="0"/>
              <w:adjustRightInd/>
              <w:snapToGrid/>
              <w:spacing w:line="160" w:lineRule="exact"/>
              <w:jc w:val="left"/>
              <w:rPr>
                <w:rFonts w:hint="eastAsia" w:hAnsi="宋体" w:cs="宋体"/>
                <w:sz w:val="13"/>
                <w:szCs w:val="13"/>
                <w:lang w:val="en-US" w:eastAsia="zh-CN"/>
              </w:rPr>
            </w:pPr>
            <w:r>
              <w:rPr>
                <w:rFonts w:hint="eastAsia" w:hAnsi="宋体" w:cs="宋体"/>
                <w:sz w:val="13"/>
                <w:szCs w:val="13"/>
                <w:lang w:val="en-US" w:eastAsia="zh-CN"/>
              </w:rPr>
              <w:t xml:space="preserve">5.支持数据自动重建机制，当主机或者磁盘故障后，自动利用集群内空闲磁盘空间，将故障数据重新恢复，快速恢复副本的完整性和冗余度，确保用户数据的可靠性和安全性。 </w:t>
            </w:r>
          </w:p>
          <w:p w14:paraId="02285581">
            <w:pPr>
              <w:pStyle w:val="3"/>
              <w:keepNext w:val="0"/>
              <w:keepLines w:val="0"/>
              <w:pageBreakBefore w:val="0"/>
              <w:kinsoku/>
              <w:wordWrap/>
              <w:overflowPunct/>
              <w:topLinePunct w:val="0"/>
              <w:autoSpaceDE/>
              <w:autoSpaceDN/>
              <w:bidi w:val="0"/>
              <w:adjustRightInd/>
              <w:snapToGrid/>
              <w:spacing w:line="160" w:lineRule="exact"/>
              <w:jc w:val="left"/>
              <w:rPr>
                <w:rFonts w:hint="eastAsia" w:hAnsi="宋体" w:cs="宋体"/>
                <w:sz w:val="13"/>
                <w:szCs w:val="13"/>
                <w:lang w:val="en-US" w:eastAsia="zh-CN"/>
              </w:rPr>
            </w:pPr>
            <w:r>
              <w:rPr>
                <w:rFonts w:hint="eastAsia" w:hAnsi="宋体" w:cs="宋体"/>
                <w:sz w:val="13"/>
                <w:szCs w:val="13"/>
                <w:lang w:val="en-US" w:eastAsia="zh-CN"/>
              </w:rPr>
              <w:t>6.在可视化的WEB管理平台上，可以查看虚拟分布式存储对应的容量大小、容量使用率、实时的IOPS读写次数、IOPS读写数据量等信息，方便为IT管理作有效的决策依据。</w:t>
            </w:r>
          </w:p>
          <w:p w14:paraId="18632005">
            <w:pPr>
              <w:pStyle w:val="3"/>
              <w:keepNext w:val="0"/>
              <w:keepLines w:val="0"/>
              <w:pageBreakBefore w:val="0"/>
              <w:kinsoku/>
              <w:wordWrap/>
              <w:overflowPunct/>
              <w:topLinePunct w:val="0"/>
              <w:autoSpaceDE/>
              <w:autoSpaceDN/>
              <w:bidi w:val="0"/>
              <w:adjustRightInd/>
              <w:snapToGrid/>
              <w:spacing w:line="160" w:lineRule="exact"/>
              <w:jc w:val="left"/>
              <w:rPr>
                <w:rFonts w:hint="eastAsia" w:hAnsi="宋体" w:cs="宋体"/>
                <w:sz w:val="13"/>
                <w:szCs w:val="13"/>
                <w:lang w:val="en-US" w:eastAsia="zh-CN"/>
              </w:rPr>
            </w:pPr>
            <w:r>
              <w:rPr>
                <w:rFonts w:hint="eastAsia" w:hAnsi="宋体" w:cs="宋体"/>
                <w:sz w:val="13"/>
                <w:szCs w:val="13"/>
                <w:lang w:val="en-US" w:eastAsia="zh-CN"/>
              </w:rPr>
              <w:t>7.硬件故障对平台影响较大，也会影响数据安全，为保障业务在硬件故障后尽快恢复冗余数据保障，支持进行数据重建操作。</w:t>
            </w:r>
          </w:p>
          <w:p w14:paraId="6384154D">
            <w:pPr>
              <w:pStyle w:val="3"/>
              <w:keepNext w:val="0"/>
              <w:keepLines w:val="0"/>
              <w:pageBreakBefore w:val="0"/>
              <w:kinsoku/>
              <w:wordWrap/>
              <w:overflowPunct/>
              <w:topLinePunct w:val="0"/>
              <w:autoSpaceDE/>
              <w:autoSpaceDN/>
              <w:bidi w:val="0"/>
              <w:adjustRightInd/>
              <w:snapToGrid/>
              <w:spacing w:line="160" w:lineRule="exact"/>
              <w:jc w:val="left"/>
              <w:rPr>
                <w:rFonts w:hint="eastAsia" w:hAnsi="宋体" w:cs="宋体"/>
                <w:sz w:val="13"/>
                <w:szCs w:val="13"/>
                <w:lang w:val="en-US" w:eastAsia="zh-CN"/>
              </w:rPr>
            </w:pPr>
            <w:r>
              <w:rPr>
                <w:rFonts w:hint="eastAsia" w:hAnsi="宋体" w:cs="宋体"/>
                <w:sz w:val="13"/>
                <w:szCs w:val="13"/>
                <w:lang w:val="en-US" w:eastAsia="zh-CN"/>
              </w:rPr>
              <w:t>云计算管理软件：</w:t>
            </w:r>
          </w:p>
          <w:p w14:paraId="5635A360">
            <w:pPr>
              <w:pStyle w:val="3"/>
              <w:keepNext w:val="0"/>
              <w:keepLines w:val="0"/>
              <w:pageBreakBefore w:val="0"/>
              <w:kinsoku/>
              <w:wordWrap/>
              <w:overflowPunct/>
              <w:topLinePunct w:val="0"/>
              <w:autoSpaceDE/>
              <w:autoSpaceDN/>
              <w:bidi w:val="0"/>
              <w:adjustRightInd/>
              <w:snapToGrid/>
              <w:spacing w:line="160" w:lineRule="exact"/>
              <w:jc w:val="left"/>
              <w:rPr>
                <w:rFonts w:hint="eastAsia" w:hAnsi="宋体" w:cs="宋体"/>
                <w:sz w:val="13"/>
                <w:szCs w:val="13"/>
                <w:lang w:val="en-US" w:eastAsia="zh-CN"/>
              </w:rPr>
            </w:pPr>
            <w:r>
              <w:rPr>
                <w:rFonts w:hint="eastAsia" w:hAnsi="宋体" w:cs="宋体"/>
                <w:sz w:val="13"/>
                <w:szCs w:val="13"/>
                <w:lang w:val="en-US" w:eastAsia="zh-CN"/>
              </w:rPr>
              <w:t>1.支持主备切换，当主平台发生故障时，能够切换到备平台，保障云平台稳定运行。</w:t>
            </w:r>
          </w:p>
          <w:p w14:paraId="5C157B09">
            <w:pPr>
              <w:keepNext w:val="0"/>
              <w:keepLines w:val="0"/>
              <w:pageBreakBefore w:val="0"/>
              <w:widowControl/>
              <w:suppressLineNumbers w:val="0"/>
              <w:kinsoku/>
              <w:wordWrap/>
              <w:overflowPunct/>
              <w:topLinePunct w:val="0"/>
              <w:autoSpaceDE/>
              <w:autoSpaceDN/>
              <w:bidi w:val="0"/>
              <w:adjustRightInd/>
              <w:snapToGrid/>
              <w:spacing w:line="160" w:lineRule="exact"/>
              <w:jc w:val="left"/>
              <w:textAlignment w:val="center"/>
              <w:rPr>
                <w:rFonts w:hint="eastAsia" w:ascii="宋体" w:hAnsi="宋体" w:eastAsia="宋体" w:cs="宋体"/>
                <w:i w:val="0"/>
                <w:iCs w:val="0"/>
                <w:color w:val="000000"/>
                <w:sz w:val="21"/>
                <w:szCs w:val="21"/>
                <w:u w:val="none"/>
              </w:rPr>
            </w:pPr>
            <w:r>
              <w:rPr>
                <w:rFonts w:hint="eastAsia" w:hAnsi="宋体" w:cs="宋体"/>
                <w:sz w:val="13"/>
                <w:szCs w:val="13"/>
                <w:lang w:val="en-US" w:eastAsia="zh-CN"/>
              </w:rPr>
              <w:t>2.支持大屏展示便于客户直观查看虚拟化资源池的使用情况和健康状态，包括资源池使用情况，包括CPU使用率、内存使用率、存储使用率、虚拟机数量、物理主机数量以及集群故障与告警等。</w:t>
            </w:r>
          </w:p>
        </w:tc>
        <w:tc>
          <w:tcPr>
            <w:tcW w:w="9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AF315E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92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6933D1A">
            <w:pPr>
              <w:jc w:val="center"/>
              <w:rPr>
                <w:rFonts w:hint="eastAsia" w:ascii="宋体" w:hAnsi="宋体" w:eastAsia="宋体" w:cs="宋体"/>
                <w:i w:val="0"/>
                <w:iCs w:val="0"/>
                <w:color w:val="000000"/>
                <w:sz w:val="21"/>
                <w:szCs w:val="21"/>
                <w:u w:val="none"/>
              </w:rPr>
            </w:pPr>
          </w:p>
        </w:tc>
        <w:tc>
          <w:tcPr>
            <w:tcW w:w="903" w:type="dxa"/>
            <w:tcBorders>
              <w:top w:val="single" w:color="auto" w:sz="4" w:space="0"/>
              <w:left w:val="single" w:color="auto" w:sz="4" w:space="0"/>
              <w:bottom w:val="single" w:color="auto" w:sz="4" w:space="0"/>
              <w:right w:val="single" w:color="auto" w:sz="4" w:space="0"/>
            </w:tcBorders>
            <w:shd w:val="clear" w:color="auto" w:fill="auto"/>
            <w:vAlign w:val="center"/>
          </w:tcPr>
          <w:p w14:paraId="3157C92B">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p>
        </w:tc>
      </w:tr>
      <w:tr w14:paraId="1BDBCF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9" w:hRule="atLeast"/>
          <w:jc w:val="center"/>
        </w:trPr>
        <w:tc>
          <w:tcPr>
            <w:tcW w:w="90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CFCCC64">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w:t>
            </w:r>
          </w:p>
        </w:tc>
        <w:tc>
          <w:tcPr>
            <w:tcW w:w="142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E97A13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eastAsia="宋体" w:cs="宋体"/>
                <w:b w:val="0"/>
                <w:bCs/>
                <w:lang w:val="en-US" w:eastAsia="zh-CN"/>
              </w:rPr>
              <w:t>超融合交换机</w:t>
            </w:r>
          </w:p>
        </w:tc>
        <w:tc>
          <w:tcPr>
            <w:tcW w:w="8741" w:type="dxa"/>
            <w:tcBorders>
              <w:top w:val="single" w:color="auto" w:sz="4" w:space="0"/>
              <w:left w:val="single" w:color="auto" w:sz="4" w:space="0"/>
              <w:bottom w:val="single" w:color="auto" w:sz="4" w:space="0"/>
              <w:right w:val="single" w:color="auto" w:sz="4" w:space="0"/>
            </w:tcBorders>
            <w:shd w:val="clear" w:color="auto" w:fill="auto"/>
            <w:vAlign w:val="center"/>
          </w:tcPr>
          <w:p w14:paraId="196157A7">
            <w:pPr>
              <w:pStyle w:val="3"/>
              <w:keepNext w:val="0"/>
              <w:keepLines w:val="0"/>
              <w:pageBreakBefore w:val="0"/>
              <w:kinsoku/>
              <w:wordWrap/>
              <w:overflowPunct/>
              <w:topLinePunct w:val="0"/>
              <w:autoSpaceDE/>
              <w:autoSpaceDN/>
              <w:bidi w:val="0"/>
              <w:adjustRightInd/>
              <w:snapToGrid/>
              <w:spacing w:line="160" w:lineRule="exact"/>
              <w:jc w:val="left"/>
              <w:rPr>
                <w:rFonts w:hint="eastAsia" w:hAnsi="宋体" w:cs="宋体"/>
                <w:sz w:val="13"/>
                <w:szCs w:val="13"/>
                <w:lang w:val="en-US" w:eastAsia="zh-CN"/>
              </w:rPr>
            </w:pPr>
            <w:r>
              <w:rPr>
                <w:rFonts w:hint="eastAsia" w:hAnsi="宋体" w:cs="宋体"/>
                <w:sz w:val="13"/>
                <w:szCs w:val="13"/>
                <w:lang w:val="en-US" w:eastAsia="zh-CN"/>
              </w:rPr>
              <w:t>1.单台硬件配置要求</w:t>
            </w:r>
            <w:r>
              <w:rPr>
                <w:rFonts w:hint="eastAsia" w:hAnsi="宋体" w:cs="宋体"/>
                <w:sz w:val="13"/>
                <w:szCs w:val="13"/>
                <w:lang w:val="en-US" w:eastAsia="zh-Hans"/>
              </w:rPr>
              <w:t>接口数</w:t>
            </w:r>
            <w:r>
              <w:rPr>
                <w:rFonts w:hint="eastAsia" w:hAnsi="宋体" w:cs="宋体"/>
                <w:sz w:val="13"/>
                <w:szCs w:val="13"/>
                <w:lang w:val="en-US" w:eastAsia="zh-CN"/>
              </w:rPr>
              <w:t>≥12个万兆SFP+光口，≥12个10/100/1000Base-T自适应电口；交换容量≥1.28Tbps，包转发率≥480Mpps。</w:t>
            </w:r>
          </w:p>
          <w:p w14:paraId="6A817CB8">
            <w:pPr>
              <w:pStyle w:val="3"/>
              <w:keepNext w:val="0"/>
              <w:keepLines w:val="0"/>
              <w:pageBreakBefore w:val="0"/>
              <w:kinsoku/>
              <w:wordWrap/>
              <w:overflowPunct/>
              <w:topLinePunct w:val="0"/>
              <w:autoSpaceDE/>
              <w:autoSpaceDN/>
              <w:bidi w:val="0"/>
              <w:adjustRightInd/>
              <w:snapToGrid/>
              <w:spacing w:line="160" w:lineRule="exact"/>
              <w:jc w:val="left"/>
              <w:rPr>
                <w:rFonts w:hint="eastAsia" w:hAnsi="宋体" w:cs="宋体"/>
                <w:sz w:val="13"/>
                <w:szCs w:val="13"/>
                <w:lang w:val="en-US" w:eastAsia="zh-CN"/>
              </w:rPr>
            </w:pPr>
            <w:r>
              <w:rPr>
                <w:rFonts w:hint="eastAsia" w:hAnsi="宋体" w:cs="宋体"/>
                <w:sz w:val="13"/>
                <w:szCs w:val="13"/>
                <w:lang w:val="en-US" w:eastAsia="zh-CN"/>
              </w:rPr>
              <w:t>含：</w:t>
            </w:r>
          </w:p>
          <w:p w14:paraId="6AD5CEDC">
            <w:pPr>
              <w:pStyle w:val="3"/>
              <w:keepNext w:val="0"/>
              <w:keepLines w:val="0"/>
              <w:pageBreakBefore w:val="0"/>
              <w:kinsoku/>
              <w:wordWrap/>
              <w:overflowPunct/>
              <w:topLinePunct w:val="0"/>
              <w:autoSpaceDE/>
              <w:autoSpaceDN/>
              <w:bidi w:val="0"/>
              <w:adjustRightInd/>
              <w:snapToGrid/>
              <w:spacing w:line="160" w:lineRule="exact"/>
              <w:jc w:val="left"/>
              <w:rPr>
                <w:rFonts w:hint="eastAsia" w:hAnsi="宋体" w:cs="宋体"/>
                <w:sz w:val="13"/>
                <w:szCs w:val="13"/>
                <w:lang w:val="en-US" w:eastAsia="zh-CN"/>
              </w:rPr>
            </w:pPr>
            <w:r>
              <w:rPr>
                <w:rFonts w:hint="eastAsia" w:hAnsi="宋体" w:cs="宋体"/>
                <w:sz w:val="13"/>
                <w:szCs w:val="13"/>
                <w:lang w:val="en-US" w:eastAsia="zh-CN"/>
              </w:rPr>
              <w:t>管理平台软件(*1套);</w:t>
            </w:r>
          </w:p>
          <w:p w14:paraId="13533E18">
            <w:pPr>
              <w:pStyle w:val="3"/>
              <w:keepNext w:val="0"/>
              <w:keepLines w:val="0"/>
              <w:pageBreakBefore w:val="0"/>
              <w:kinsoku/>
              <w:wordWrap/>
              <w:overflowPunct/>
              <w:topLinePunct w:val="0"/>
              <w:autoSpaceDE/>
              <w:autoSpaceDN/>
              <w:bidi w:val="0"/>
              <w:adjustRightInd/>
              <w:snapToGrid/>
              <w:spacing w:line="160" w:lineRule="exact"/>
              <w:jc w:val="left"/>
              <w:rPr>
                <w:rFonts w:hint="eastAsia" w:hAnsi="宋体" w:cs="宋体"/>
                <w:sz w:val="13"/>
                <w:szCs w:val="13"/>
                <w:lang w:val="en-US" w:eastAsia="zh-CN"/>
              </w:rPr>
            </w:pPr>
            <w:r>
              <w:rPr>
                <w:rFonts w:hint="eastAsia" w:hAnsi="宋体" w:cs="宋体"/>
                <w:sz w:val="13"/>
                <w:szCs w:val="13"/>
                <w:lang w:val="en-US" w:eastAsia="zh-CN"/>
              </w:rPr>
              <w:t>光纤线-多模-LC-LC-3M(*3个);</w:t>
            </w:r>
          </w:p>
          <w:p w14:paraId="79482B7E">
            <w:pPr>
              <w:pStyle w:val="3"/>
              <w:keepNext w:val="0"/>
              <w:keepLines w:val="0"/>
              <w:pageBreakBefore w:val="0"/>
              <w:kinsoku/>
              <w:wordWrap/>
              <w:overflowPunct/>
              <w:topLinePunct w:val="0"/>
              <w:autoSpaceDE/>
              <w:autoSpaceDN/>
              <w:bidi w:val="0"/>
              <w:adjustRightInd/>
              <w:snapToGrid/>
              <w:spacing w:line="160" w:lineRule="exact"/>
              <w:jc w:val="left"/>
              <w:rPr>
                <w:rFonts w:hint="eastAsia" w:hAnsi="宋体" w:cs="宋体"/>
                <w:sz w:val="13"/>
                <w:szCs w:val="13"/>
                <w:lang w:val="en-US" w:eastAsia="zh-CN"/>
              </w:rPr>
            </w:pPr>
            <w:r>
              <w:rPr>
                <w:rFonts w:hint="eastAsia" w:hAnsi="宋体" w:cs="宋体"/>
                <w:sz w:val="13"/>
                <w:szCs w:val="13"/>
                <w:lang w:val="en-US" w:eastAsia="zh-CN"/>
              </w:rPr>
              <w:t>万兆多模-850-300m-双纤(*6个);</w:t>
            </w:r>
          </w:p>
          <w:p w14:paraId="2A3045F3">
            <w:pPr>
              <w:pStyle w:val="3"/>
              <w:keepNext w:val="0"/>
              <w:keepLines w:val="0"/>
              <w:pageBreakBefore w:val="0"/>
              <w:kinsoku/>
              <w:wordWrap/>
              <w:overflowPunct/>
              <w:topLinePunct w:val="0"/>
              <w:autoSpaceDE/>
              <w:autoSpaceDN/>
              <w:bidi w:val="0"/>
              <w:adjustRightInd/>
              <w:snapToGrid/>
              <w:spacing w:line="160" w:lineRule="exact"/>
              <w:jc w:val="left"/>
              <w:rPr>
                <w:rFonts w:hint="eastAsia" w:hAnsi="宋体" w:cs="宋体"/>
                <w:sz w:val="13"/>
                <w:szCs w:val="13"/>
                <w:lang w:val="en-US" w:eastAsia="zh-CN"/>
              </w:rPr>
            </w:pPr>
            <w:r>
              <w:rPr>
                <w:rFonts w:hint="eastAsia" w:hAnsi="宋体" w:cs="宋体"/>
                <w:sz w:val="13"/>
                <w:szCs w:val="13"/>
                <w:lang w:val="en-US" w:eastAsia="zh-CN"/>
              </w:rPr>
              <w:t>SFP-10G-AOC-3M线缆(*1个);</w:t>
            </w:r>
          </w:p>
          <w:p w14:paraId="1BD2F574">
            <w:pPr>
              <w:pStyle w:val="3"/>
              <w:keepNext w:val="0"/>
              <w:keepLines w:val="0"/>
              <w:pageBreakBefore w:val="0"/>
              <w:kinsoku/>
              <w:wordWrap/>
              <w:overflowPunct/>
              <w:topLinePunct w:val="0"/>
              <w:autoSpaceDE/>
              <w:autoSpaceDN/>
              <w:bidi w:val="0"/>
              <w:adjustRightInd/>
              <w:snapToGrid/>
              <w:spacing w:line="160" w:lineRule="exact"/>
              <w:jc w:val="left"/>
              <w:rPr>
                <w:rFonts w:hint="eastAsia" w:hAnsi="宋体" w:cs="宋体"/>
                <w:sz w:val="13"/>
                <w:szCs w:val="13"/>
                <w:lang w:val="en-US" w:eastAsia="zh-CN"/>
              </w:rPr>
            </w:pPr>
            <w:r>
              <w:rPr>
                <w:rFonts w:hint="eastAsia" w:hAnsi="宋体" w:cs="宋体"/>
                <w:sz w:val="13"/>
                <w:szCs w:val="13"/>
                <w:lang w:val="en-US" w:eastAsia="zh-CN"/>
              </w:rPr>
              <w:t>2.支持STP、RSTP、MSTP协议；支持IGMP v1/v2/v3 Snooping；支持4K个VLAN；支持DHCP Server。</w:t>
            </w:r>
          </w:p>
          <w:p w14:paraId="1A524BB2">
            <w:pPr>
              <w:pStyle w:val="3"/>
              <w:keepNext w:val="0"/>
              <w:keepLines w:val="0"/>
              <w:pageBreakBefore w:val="0"/>
              <w:kinsoku/>
              <w:wordWrap/>
              <w:overflowPunct/>
              <w:topLinePunct w:val="0"/>
              <w:autoSpaceDE/>
              <w:autoSpaceDN/>
              <w:bidi w:val="0"/>
              <w:adjustRightInd/>
              <w:snapToGrid/>
              <w:spacing w:line="160" w:lineRule="exact"/>
              <w:jc w:val="left"/>
              <w:rPr>
                <w:rFonts w:hint="eastAsia" w:hAnsi="宋体" w:cs="宋体"/>
                <w:sz w:val="13"/>
                <w:szCs w:val="13"/>
                <w:lang w:val="en-US" w:eastAsia="zh-CN"/>
              </w:rPr>
            </w:pPr>
            <w:r>
              <w:rPr>
                <w:rFonts w:hint="eastAsia" w:hAnsi="宋体" w:cs="宋体"/>
                <w:sz w:val="13"/>
                <w:szCs w:val="13"/>
                <w:lang w:val="en-US" w:eastAsia="zh-CN"/>
              </w:rPr>
              <w:t>3.支持MAC地址≥32K；支持MAC地址自动学习；支持源MAC地址过滤；支持接口MAC地址学习个数限制。</w:t>
            </w:r>
          </w:p>
          <w:p w14:paraId="0F4B5685">
            <w:pPr>
              <w:pStyle w:val="3"/>
              <w:keepNext w:val="0"/>
              <w:keepLines w:val="0"/>
              <w:pageBreakBefore w:val="0"/>
              <w:kinsoku/>
              <w:wordWrap/>
              <w:overflowPunct/>
              <w:topLinePunct w:val="0"/>
              <w:autoSpaceDE/>
              <w:autoSpaceDN/>
              <w:bidi w:val="0"/>
              <w:adjustRightInd/>
              <w:snapToGrid/>
              <w:spacing w:line="160" w:lineRule="exact"/>
              <w:jc w:val="left"/>
              <w:rPr>
                <w:rFonts w:hint="eastAsia" w:hAnsi="宋体" w:cs="宋体"/>
                <w:sz w:val="13"/>
                <w:szCs w:val="13"/>
                <w:lang w:val="en-US" w:eastAsia="zh-CN"/>
              </w:rPr>
            </w:pPr>
            <w:r>
              <w:rPr>
                <w:rFonts w:hint="eastAsia" w:hAnsi="宋体" w:cs="宋体"/>
                <w:sz w:val="13"/>
                <w:szCs w:val="13"/>
                <w:lang w:val="en-US" w:eastAsia="zh-CN"/>
              </w:rPr>
              <w:t>4.为了提升网络可靠性，交换机需支持在网络控制平台管理下的M-LAG技术，跨设备链路聚合（非堆叠技术实现），要求配对的设备有独立的控制平面。</w:t>
            </w:r>
          </w:p>
          <w:p w14:paraId="36E9183A">
            <w:pPr>
              <w:pStyle w:val="3"/>
              <w:keepNext w:val="0"/>
              <w:keepLines w:val="0"/>
              <w:pageBreakBefore w:val="0"/>
              <w:kinsoku/>
              <w:wordWrap/>
              <w:overflowPunct/>
              <w:topLinePunct w:val="0"/>
              <w:autoSpaceDE/>
              <w:autoSpaceDN/>
              <w:bidi w:val="0"/>
              <w:adjustRightInd/>
              <w:snapToGrid/>
              <w:spacing w:line="160" w:lineRule="exact"/>
              <w:jc w:val="left"/>
              <w:rPr>
                <w:rFonts w:hint="eastAsia" w:hAnsi="宋体" w:cs="宋体"/>
                <w:sz w:val="13"/>
                <w:szCs w:val="13"/>
                <w:lang w:val="en-US" w:eastAsia="zh-CN"/>
              </w:rPr>
            </w:pPr>
            <w:r>
              <w:rPr>
                <w:rFonts w:hint="eastAsia" w:hAnsi="宋体" w:cs="宋体"/>
                <w:sz w:val="13"/>
                <w:szCs w:val="13"/>
                <w:lang w:val="en-US" w:eastAsia="zh-CN"/>
              </w:rPr>
              <w:t>5.支持防网关ARP欺骗，支持端口保护、隔离，支持防DDOS、ARP攻击功能，支持CPU保护功能。</w:t>
            </w:r>
          </w:p>
          <w:p w14:paraId="76A5DEB5">
            <w:pPr>
              <w:pStyle w:val="3"/>
              <w:keepNext w:val="0"/>
              <w:keepLines w:val="0"/>
              <w:pageBreakBefore w:val="0"/>
              <w:kinsoku/>
              <w:wordWrap/>
              <w:overflowPunct/>
              <w:topLinePunct w:val="0"/>
              <w:autoSpaceDE/>
              <w:autoSpaceDN/>
              <w:bidi w:val="0"/>
              <w:adjustRightInd/>
              <w:snapToGrid/>
              <w:spacing w:line="160" w:lineRule="exact"/>
              <w:jc w:val="left"/>
              <w:rPr>
                <w:rFonts w:hint="eastAsia" w:hAnsi="宋体" w:cs="宋体"/>
                <w:sz w:val="13"/>
                <w:szCs w:val="13"/>
                <w:lang w:val="en-US" w:eastAsia="zh-CN"/>
              </w:rPr>
            </w:pPr>
            <w:r>
              <w:rPr>
                <w:rFonts w:hint="eastAsia" w:hAnsi="宋体" w:cs="宋体"/>
                <w:sz w:val="13"/>
                <w:szCs w:val="13"/>
                <w:lang w:val="en-US" w:eastAsia="zh-CN"/>
              </w:rPr>
              <w:t>6.支持通过APP进行远程管理，并且可以修改交换机网络配置；支持通过网管平台跨广域网、NAT远程管理智能交换机。</w:t>
            </w:r>
          </w:p>
          <w:p w14:paraId="7EE8B1C6">
            <w:pPr>
              <w:pStyle w:val="3"/>
              <w:keepNext w:val="0"/>
              <w:keepLines w:val="0"/>
              <w:pageBreakBefore w:val="0"/>
              <w:kinsoku/>
              <w:wordWrap/>
              <w:overflowPunct/>
              <w:topLinePunct w:val="0"/>
              <w:autoSpaceDE/>
              <w:autoSpaceDN/>
              <w:bidi w:val="0"/>
              <w:adjustRightInd/>
              <w:snapToGrid/>
              <w:spacing w:line="160" w:lineRule="exact"/>
              <w:jc w:val="left"/>
              <w:rPr>
                <w:rFonts w:hint="eastAsia" w:hAnsi="宋体" w:cs="宋体"/>
                <w:sz w:val="13"/>
                <w:szCs w:val="13"/>
                <w:lang w:val="en-US" w:eastAsia="zh-CN"/>
              </w:rPr>
            </w:pPr>
            <w:r>
              <w:rPr>
                <w:rFonts w:hint="eastAsia" w:hAnsi="宋体" w:cs="宋体"/>
                <w:sz w:val="13"/>
                <w:szCs w:val="13"/>
                <w:lang w:val="en-US" w:eastAsia="zh-CN"/>
              </w:rPr>
              <w:t>7.支持查看安全事件记录、私扩非法边缘设备记录、终端在端口漂移记录、静态IP异常记录等安全事件的记录统计。</w:t>
            </w:r>
          </w:p>
          <w:p w14:paraId="65FF3B86">
            <w:pPr>
              <w:pStyle w:val="3"/>
              <w:keepNext w:val="0"/>
              <w:keepLines w:val="0"/>
              <w:pageBreakBefore w:val="0"/>
              <w:kinsoku/>
              <w:wordWrap/>
              <w:overflowPunct/>
              <w:topLinePunct w:val="0"/>
              <w:autoSpaceDE/>
              <w:autoSpaceDN/>
              <w:bidi w:val="0"/>
              <w:adjustRightInd/>
              <w:snapToGrid/>
              <w:spacing w:line="160" w:lineRule="exact"/>
              <w:jc w:val="left"/>
              <w:rPr>
                <w:rFonts w:hint="eastAsia" w:hAnsi="宋体" w:cs="宋体"/>
                <w:sz w:val="13"/>
                <w:szCs w:val="13"/>
                <w:lang w:val="en-US" w:eastAsia="zh-CN"/>
              </w:rPr>
            </w:pPr>
            <w:r>
              <w:rPr>
                <w:rFonts w:hint="eastAsia" w:hAnsi="宋体" w:cs="宋体"/>
                <w:sz w:val="13"/>
                <w:szCs w:val="13"/>
                <w:lang w:val="en-US" w:eastAsia="zh-CN"/>
              </w:rPr>
              <w:t>8.支持终端的MAC与交换机端口变更检测；支持交换机端口终端类型变更后，通过APP、短信告警。</w:t>
            </w:r>
          </w:p>
          <w:p w14:paraId="4E165F71">
            <w:pPr>
              <w:pStyle w:val="3"/>
              <w:keepNext w:val="0"/>
              <w:keepLines w:val="0"/>
              <w:pageBreakBefore w:val="0"/>
              <w:kinsoku/>
              <w:wordWrap/>
              <w:overflowPunct/>
              <w:topLinePunct w:val="0"/>
              <w:autoSpaceDE/>
              <w:autoSpaceDN/>
              <w:bidi w:val="0"/>
              <w:adjustRightInd/>
              <w:snapToGrid/>
              <w:spacing w:line="160" w:lineRule="exact"/>
              <w:jc w:val="left"/>
              <w:rPr>
                <w:rFonts w:hint="eastAsia" w:hAnsi="宋体" w:cs="宋体"/>
                <w:sz w:val="13"/>
                <w:szCs w:val="13"/>
                <w:lang w:val="en-US" w:eastAsia="zh-CN"/>
              </w:rPr>
            </w:pPr>
            <w:r>
              <w:rPr>
                <w:rFonts w:hint="eastAsia" w:hAnsi="宋体" w:cs="宋体"/>
                <w:sz w:val="13"/>
                <w:szCs w:val="13"/>
                <w:lang w:val="en-US" w:eastAsia="zh-CN"/>
              </w:rPr>
              <w:t>9.支持终端类型库，基于指纹自动识别PC、路由器、监控终端设备等。</w:t>
            </w:r>
          </w:p>
          <w:p w14:paraId="421CFAC5">
            <w:pPr>
              <w:pStyle w:val="3"/>
              <w:keepNext w:val="0"/>
              <w:keepLines w:val="0"/>
              <w:pageBreakBefore w:val="0"/>
              <w:kinsoku/>
              <w:wordWrap/>
              <w:overflowPunct/>
              <w:topLinePunct w:val="0"/>
              <w:autoSpaceDE/>
              <w:autoSpaceDN/>
              <w:bidi w:val="0"/>
              <w:adjustRightInd/>
              <w:snapToGrid/>
              <w:spacing w:line="160" w:lineRule="exact"/>
              <w:jc w:val="left"/>
              <w:rPr>
                <w:rFonts w:hint="eastAsia" w:hAnsi="宋体" w:cs="宋体"/>
                <w:sz w:val="13"/>
                <w:szCs w:val="13"/>
                <w:lang w:val="en-US" w:eastAsia="zh-CN"/>
              </w:rPr>
            </w:pPr>
            <w:r>
              <w:rPr>
                <w:rFonts w:hint="eastAsia" w:hAnsi="宋体" w:cs="宋体"/>
                <w:sz w:val="13"/>
                <w:szCs w:val="13"/>
                <w:lang w:val="en-US" w:eastAsia="zh-CN"/>
              </w:rPr>
              <w:t>10.为方便故障设备快速更换，交换机支持通过控制器平台“替换”按钮即可完成故障设备替换。</w:t>
            </w:r>
          </w:p>
          <w:p w14:paraId="759C576A">
            <w:pPr>
              <w:pStyle w:val="3"/>
              <w:keepNext w:val="0"/>
              <w:keepLines w:val="0"/>
              <w:pageBreakBefore w:val="0"/>
              <w:kinsoku/>
              <w:wordWrap/>
              <w:overflowPunct/>
              <w:topLinePunct w:val="0"/>
              <w:autoSpaceDE/>
              <w:autoSpaceDN/>
              <w:bidi w:val="0"/>
              <w:adjustRightInd/>
              <w:snapToGrid/>
              <w:spacing w:line="160" w:lineRule="exact"/>
              <w:jc w:val="left"/>
              <w:rPr>
                <w:rFonts w:hint="eastAsia" w:hAnsi="宋体" w:cs="宋体"/>
                <w:sz w:val="13"/>
                <w:szCs w:val="13"/>
                <w:lang w:val="en-US" w:eastAsia="zh-CN"/>
              </w:rPr>
            </w:pPr>
            <w:r>
              <w:rPr>
                <w:rFonts w:hint="eastAsia" w:hAnsi="宋体" w:cs="宋体"/>
                <w:sz w:val="13"/>
                <w:szCs w:val="13"/>
                <w:lang w:val="en-US" w:eastAsia="zh-CN"/>
              </w:rPr>
              <w:t>11.为方便快速上线，交换机支持零配置上线，支持二层广播自动发现、配置静态IP地址三层发现等自发现功能。</w:t>
            </w:r>
          </w:p>
          <w:p w14:paraId="096B7F52">
            <w:pPr>
              <w:pStyle w:val="3"/>
              <w:keepNext w:val="0"/>
              <w:keepLines w:val="0"/>
              <w:pageBreakBefore w:val="0"/>
              <w:kinsoku/>
              <w:wordWrap/>
              <w:overflowPunct/>
              <w:topLinePunct w:val="0"/>
              <w:autoSpaceDE/>
              <w:autoSpaceDN/>
              <w:bidi w:val="0"/>
              <w:adjustRightInd/>
              <w:snapToGrid/>
              <w:spacing w:line="160" w:lineRule="exact"/>
              <w:jc w:val="left"/>
              <w:rPr>
                <w:rFonts w:hint="eastAsia" w:ascii="宋体" w:hAnsi="宋体" w:eastAsia="宋体" w:cs="宋体"/>
                <w:i w:val="0"/>
                <w:iCs w:val="0"/>
                <w:color w:val="000000"/>
                <w:sz w:val="21"/>
                <w:szCs w:val="21"/>
                <w:u w:val="none"/>
              </w:rPr>
            </w:pPr>
            <w:r>
              <w:rPr>
                <w:rFonts w:hint="eastAsia" w:hAnsi="宋体" w:cs="宋体"/>
                <w:sz w:val="13"/>
                <w:szCs w:val="13"/>
                <w:lang w:val="en-US" w:eastAsia="zh-CN"/>
              </w:rPr>
              <w:t>12.为了保障网络安全性，需支持交换机在网络控制平台管理下创建东西向安全策略，实现全网安全风险拦截。</w:t>
            </w:r>
          </w:p>
        </w:tc>
        <w:tc>
          <w:tcPr>
            <w:tcW w:w="9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AB3064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92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2951A74">
            <w:pPr>
              <w:jc w:val="center"/>
              <w:rPr>
                <w:rFonts w:hint="eastAsia" w:ascii="宋体" w:hAnsi="宋体" w:eastAsia="宋体" w:cs="宋体"/>
                <w:i w:val="0"/>
                <w:iCs w:val="0"/>
                <w:color w:val="000000"/>
                <w:sz w:val="21"/>
                <w:szCs w:val="21"/>
                <w:u w:val="none"/>
              </w:rPr>
            </w:pPr>
          </w:p>
        </w:tc>
        <w:tc>
          <w:tcPr>
            <w:tcW w:w="903" w:type="dxa"/>
            <w:tcBorders>
              <w:top w:val="single" w:color="auto" w:sz="4" w:space="0"/>
              <w:left w:val="single" w:color="auto" w:sz="4" w:space="0"/>
              <w:bottom w:val="single" w:color="auto" w:sz="4" w:space="0"/>
              <w:right w:val="single" w:color="auto" w:sz="4" w:space="0"/>
            </w:tcBorders>
            <w:shd w:val="clear" w:color="auto" w:fill="auto"/>
            <w:vAlign w:val="center"/>
          </w:tcPr>
          <w:p w14:paraId="6582257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r>
      <w:tr w14:paraId="3E374A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90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8448BD5">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合计</w:t>
            </w:r>
          </w:p>
        </w:tc>
        <w:tc>
          <w:tcPr>
            <w:tcW w:w="11119"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2611197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（大写金额）</w:t>
            </w:r>
          </w:p>
        </w:tc>
        <w:tc>
          <w:tcPr>
            <w:tcW w:w="283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078305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（小写金额）</w:t>
            </w:r>
          </w:p>
        </w:tc>
      </w:tr>
    </w:tbl>
    <w:p w14:paraId="27CC40FC">
      <w:pPr>
        <w:keepNext w:val="0"/>
        <w:keepLines w:val="0"/>
        <w:pageBreakBefore w:val="0"/>
        <w:widowControl w:val="0"/>
        <w:kinsoku/>
        <w:wordWrap w:val="0"/>
        <w:overflowPunct/>
        <w:topLinePunct w:val="0"/>
        <w:autoSpaceDE/>
        <w:autoSpaceDN/>
        <w:bidi w:val="0"/>
        <w:adjustRightInd/>
        <w:snapToGrid/>
        <w:ind w:firstLine="560" w:firstLineChars="200"/>
        <w:jc w:val="center"/>
        <w:textAlignment w:val="auto"/>
        <w:rPr>
          <w:rFonts w:hint="eastAsia" w:ascii="Times New Roman" w:hAnsi="Times New Roman" w:eastAsia="仿宋" w:cs="Times New Roman"/>
          <w:color w:val="333333"/>
          <w:sz w:val="28"/>
          <w:szCs w:val="28"/>
          <w:lang w:val="en-US" w:eastAsia="zh-CN"/>
        </w:rPr>
      </w:pPr>
      <w:r>
        <w:rPr>
          <w:rFonts w:hint="eastAsia" w:ascii="Times New Roman" w:hAnsi="Times New Roman" w:eastAsia="仿宋" w:cs="Times New Roman"/>
          <w:color w:val="333333"/>
          <w:sz w:val="28"/>
          <w:szCs w:val="28"/>
          <w:lang w:val="en-US" w:eastAsia="zh-CN"/>
        </w:rPr>
        <w:t xml:space="preserve">                                  询价单位：长春市儿童医院信息统计办公室   </w:t>
      </w:r>
    </w:p>
    <w:p w14:paraId="536C3B4E">
      <w:pPr>
        <w:keepNext w:val="0"/>
        <w:keepLines w:val="0"/>
        <w:pageBreakBefore w:val="0"/>
        <w:widowControl w:val="0"/>
        <w:kinsoku/>
        <w:wordWrap w:val="0"/>
        <w:overflowPunct/>
        <w:topLinePunct w:val="0"/>
        <w:autoSpaceDE/>
        <w:autoSpaceDN/>
        <w:bidi w:val="0"/>
        <w:adjustRightInd/>
        <w:snapToGrid/>
        <w:ind w:firstLine="560" w:firstLineChars="200"/>
        <w:jc w:val="center"/>
        <w:textAlignment w:val="auto"/>
        <w:rPr>
          <w:rFonts w:hint="eastAsia" w:ascii="Times New Roman" w:hAnsi="Times New Roman" w:eastAsia="仿宋" w:cs="Times New Roman"/>
          <w:color w:val="333333"/>
          <w:sz w:val="28"/>
          <w:szCs w:val="28"/>
          <w:lang w:val="en-US" w:eastAsia="zh-CN"/>
        </w:rPr>
      </w:pPr>
      <w:r>
        <w:rPr>
          <w:rFonts w:hint="eastAsia" w:ascii="Times New Roman" w:hAnsi="Times New Roman" w:eastAsia="仿宋" w:cs="Times New Roman"/>
          <w:color w:val="333333"/>
          <w:sz w:val="28"/>
          <w:szCs w:val="28"/>
          <w:lang w:val="en-US" w:eastAsia="zh-CN"/>
        </w:rPr>
        <w:t xml:space="preserve">                    询价</w:t>
      </w:r>
      <w:r>
        <w:rPr>
          <w:rFonts w:hint="eastAsia" w:ascii="Times New Roman" w:hAnsi="Times New Roman" w:eastAsia="仿宋" w:cs="Times New Roman"/>
          <w:color w:val="333333"/>
          <w:sz w:val="28"/>
          <w:szCs w:val="28"/>
          <w:lang w:eastAsia="zh-CN"/>
        </w:rPr>
        <w:t>日期：</w:t>
      </w:r>
      <w:r>
        <w:rPr>
          <w:rFonts w:hint="eastAsia" w:ascii="Times New Roman" w:hAnsi="Times New Roman" w:eastAsia="仿宋" w:cs="Times New Roman"/>
          <w:color w:val="333333"/>
          <w:sz w:val="28"/>
          <w:szCs w:val="28"/>
          <w:lang w:val="en-US" w:eastAsia="zh-CN"/>
        </w:rPr>
        <w:t xml:space="preserve">2025年9月     </w:t>
      </w:r>
    </w:p>
    <w:p w14:paraId="4DDD334A">
      <w:pPr>
        <w:keepNext w:val="0"/>
        <w:keepLines w:val="0"/>
        <w:pageBreakBefore w:val="0"/>
        <w:widowControl w:val="0"/>
        <w:kinsoku/>
        <w:wordWrap w:val="0"/>
        <w:overflowPunct/>
        <w:topLinePunct w:val="0"/>
        <w:autoSpaceDE/>
        <w:autoSpaceDN/>
        <w:bidi w:val="0"/>
        <w:adjustRightInd/>
        <w:snapToGrid/>
        <w:jc w:val="left"/>
        <w:textAlignment w:val="auto"/>
        <w:rPr>
          <w:rFonts w:hint="eastAsia" w:ascii="Times New Roman" w:hAnsi="Times New Roman" w:eastAsia="仿宋" w:cs="Times New Roman"/>
          <w:color w:val="333333"/>
          <w:sz w:val="28"/>
          <w:szCs w:val="28"/>
          <w:lang w:val="en-US" w:eastAsia="zh-CN"/>
        </w:rPr>
      </w:pPr>
      <w:r>
        <w:rPr>
          <w:rFonts w:hint="eastAsia" w:ascii="Times New Roman" w:hAnsi="Times New Roman" w:eastAsia="仿宋" w:cs="Times New Roman"/>
          <w:color w:val="333333"/>
          <w:sz w:val="28"/>
          <w:szCs w:val="28"/>
          <w:lang w:val="en-US" w:eastAsia="zh-CN"/>
        </w:rPr>
        <w:t xml:space="preserve"> </w:t>
      </w:r>
      <w:r>
        <w:rPr>
          <w:rFonts w:hint="eastAsia" w:ascii="Times New Roman" w:hAnsi="Times New Roman" w:eastAsia="仿宋" w:cs="Times New Roman"/>
          <w:color w:val="333333"/>
          <w:sz w:val="28"/>
          <w:szCs w:val="28"/>
          <w:u w:val="single"/>
          <w:lang w:val="en-US" w:eastAsia="zh-CN"/>
        </w:rPr>
        <w:t xml:space="preserve">                     </w:t>
      </w:r>
      <w:r>
        <w:rPr>
          <w:rFonts w:hint="eastAsia" w:ascii="Times New Roman" w:hAnsi="Times New Roman" w:eastAsia="仿宋" w:cs="Times New Roman"/>
          <w:color w:val="333333"/>
          <w:sz w:val="28"/>
          <w:szCs w:val="28"/>
          <w:lang w:val="en-US" w:eastAsia="zh-CN"/>
        </w:rPr>
        <w:t>公司接受询价日期：      年   月   日（此处需盖公司章）</w:t>
      </w:r>
    </w:p>
    <w:p w14:paraId="14899ED5">
      <w:pPr>
        <w:keepNext w:val="0"/>
        <w:keepLines w:val="0"/>
        <w:pageBreakBefore w:val="0"/>
        <w:widowControl w:val="0"/>
        <w:kinsoku/>
        <w:wordWrap w:val="0"/>
        <w:overflowPunct/>
        <w:topLinePunct w:val="0"/>
        <w:autoSpaceDE/>
        <w:autoSpaceDN/>
        <w:bidi w:val="0"/>
        <w:adjustRightInd/>
        <w:snapToGrid/>
        <w:jc w:val="left"/>
        <w:textAlignment w:val="auto"/>
        <w:rPr>
          <w:rFonts w:hint="eastAsia" w:ascii="Times New Roman" w:hAnsi="Times New Roman" w:eastAsia="仿宋" w:cs="Times New Roman"/>
          <w:b/>
          <w:bCs/>
          <w:color w:val="333333"/>
          <w:sz w:val="28"/>
          <w:szCs w:val="28"/>
          <w:lang w:val="en-US" w:eastAsia="zh-CN"/>
        </w:rPr>
      </w:pPr>
      <w:r>
        <w:rPr>
          <w:rFonts w:hint="eastAsia" w:ascii="Times New Roman" w:hAnsi="Times New Roman" w:eastAsia="仿宋" w:cs="Times New Roman"/>
          <w:b/>
          <w:bCs/>
          <w:color w:val="333333"/>
          <w:sz w:val="28"/>
          <w:szCs w:val="28"/>
          <w:lang w:val="en-US" w:eastAsia="zh-CN"/>
        </w:rPr>
        <w:t>备注：需在报价总合计处盖公司章，将原件寄回我院。</w:t>
      </w: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4"/>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FlZDQ3YzBiMzgxYWZiYmE3YzM3ODIzOGViMDNiYTkifQ=="/>
  </w:docVars>
  <w:rsids>
    <w:rsidRoot w:val="00000000"/>
    <w:rsid w:val="034C0215"/>
    <w:rsid w:val="04E80917"/>
    <w:rsid w:val="059E7B97"/>
    <w:rsid w:val="08627358"/>
    <w:rsid w:val="091F6499"/>
    <w:rsid w:val="09901726"/>
    <w:rsid w:val="099F5AD5"/>
    <w:rsid w:val="0B0B2516"/>
    <w:rsid w:val="0CA25018"/>
    <w:rsid w:val="0D341F2A"/>
    <w:rsid w:val="0E166EC6"/>
    <w:rsid w:val="14FC1857"/>
    <w:rsid w:val="18724BC4"/>
    <w:rsid w:val="18E042D8"/>
    <w:rsid w:val="1BAC272F"/>
    <w:rsid w:val="1C8C55B1"/>
    <w:rsid w:val="1CAB61AD"/>
    <w:rsid w:val="1D73014E"/>
    <w:rsid w:val="1DEF0569"/>
    <w:rsid w:val="1E3367C6"/>
    <w:rsid w:val="1E3419CF"/>
    <w:rsid w:val="1EF754A0"/>
    <w:rsid w:val="1F06098F"/>
    <w:rsid w:val="1F8A0FEC"/>
    <w:rsid w:val="209F0117"/>
    <w:rsid w:val="2157569F"/>
    <w:rsid w:val="23D25146"/>
    <w:rsid w:val="258B4085"/>
    <w:rsid w:val="25C5032F"/>
    <w:rsid w:val="26E4570C"/>
    <w:rsid w:val="27672A08"/>
    <w:rsid w:val="279664C8"/>
    <w:rsid w:val="280A1770"/>
    <w:rsid w:val="29084B6E"/>
    <w:rsid w:val="290E47EC"/>
    <w:rsid w:val="295B52D4"/>
    <w:rsid w:val="349D0BF0"/>
    <w:rsid w:val="389072A0"/>
    <w:rsid w:val="38CF3948"/>
    <w:rsid w:val="3A4E409A"/>
    <w:rsid w:val="3CD57295"/>
    <w:rsid w:val="3CE6327B"/>
    <w:rsid w:val="3E6C3FB1"/>
    <w:rsid w:val="3FA05CDE"/>
    <w:rsid w:val="44320323"/>
    <w:rsid w:val="47AA3BA2"/>
    <w:rsid w:val="49924BF2"/>
    <w:rsid w:val="49F67778"/>
    <w:rsid w:val="4F0A1253"/>
    <w:rsid w:val="544662D1"/>
    <w:rsid w:val="57E04990"/>
    <w:rsid w:val="57EB6E6A"/>
    <w:rsid w:val="58360AE6"/>
    <w:rsid w:val="595B2712"/>
    <w:rsid w:val="5A416182"/>
    <w:rsid w:val="5E4E551A"/>
    <w:rsid w:val="62207E28"/>
    <w:rsid w:val="626F3DBC"/>
    <w:rsid w:val="63465D32"/>
    <w:rsid w:val="63F7557C"/>
    <w:rsid w:val="641A530E"/>
    <w:rsid w:val="64FE29DC"/>
    <w:rsid w:val="654F3237"/>
    <w:rsid w:val="67904426"/>
    <w:rsid w:val="6850354E"/>
    <w:rsid w:val="68FF79C6"/>
    <w:rsid w:val="6B2D6F1D"/>
    <w:rsid w:val="74D10313"/>
    <w:rsid w:val="74EC4C78"/>
    <w:rsid w:val="75AF7EC9"/>
    <w:rsid w:val="77D23941"/>
    <w:rsid w:val="788E35A3"/>
    <w:rsid w:val="78E90E66"/>
    <w:rsid w:val="7B66335D"/>
    <w:rsid w:val="7CDB0023"/>
    <w:rsid w:val="7F172A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Plain Text"/>
    <w:basedOn w:val="1"/>
    <w:qFormat/>
    <w:uiPriority w:val="0"/>
    <w:rPr>
      <w:rFonts w:ascii="宋体" w:hAnsi="Courier New" w:eastAsia="宋体" w:cs="Times New Roman"/>
      <w:kern w:val="0"/>
      <w:sz w:val="20"/>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1756</Words>
  <Characters>2049</Characters>
  <Lines>0</Lines>
  <Paragraphs>0</Paragraphs>
  <TotalTime>0</TotalTime>
  <ScaleCrop>false</ScaleCrop>
  <LinksUpToDate>false</LinksUpToDate>
  <CharactersWithSpaces>2175</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2024-04-19T02:27:00Z</dcterms:created>
  <dc:creator>Administrator</dc:creator>
  <cp:lastModifiedBy>大猫</cp:lastModifiedBy>
  <cp:lastPrinted>2025-12-15T03:52:25Z</cp:lastPrinted>
  <dcterms:modified xsi:type="dcterms:W3CDTF">2025-12-15T05:06:05Z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B5FEF7FECFED438A9CA6D4BD24BD266E_13</vt:lpwstr>
  </property>
  <property fmtid="{D5CDD505-2E9C-101B-9397-08002B2CF9AE}" pid="4" name="KSOTemplateDocerSaveRecord">
    <vt:lpwstr>eyJoZGlkIjoiYmZkNGU3NTk1NDc4NTJkZjA5OGUxZTA0NzIyYWRhNWQiLCJ1c2VySWQiOiIyNjgzNDE5MzgifQ==</vt:lpwstr>
  </property>
</Properties>
</file>